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U173626-1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668B7">
        <w:t>18.09.2024 05:41:11</w:t>
      </w:r>
    </w:p>
    <w:p w:rsidR="00CA5A9E" w:rsidRPr="006178B2" w:rsidRDefault="00CA5A9E" w:rsidP="00CA5A9E">
      <w:pPr>
        <w:jc w:val="center"/>
        <w:rPr>
          <w:iCs/>
        </w:rPr>
      </w:pPr>
    </w:p>
    <w:p w:rsidR="00C668B7" w:rsidRPr="00EC6EC6" w:rsidRDefault="00C668B7" w:rsidP="00C668B7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E5568E" w:rsidRPr="00C668B7" w:rsidRDefault="00E5568E" w:rsidP="00E5568E">
      <w:pPr>
        <w:jc w:val="center"/>
        <w:rPr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C668B7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134"/>
        <w:gridCol w:w="1668"/>
      </w:tblGrid>
      <w:tr w:rsidR="00EB047A" w:rsidTr="00C668B7">
        <w:tc>
          <w:tcPr>
            <w:tcW w:w="7054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34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668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</w:t>
            </w:r>
            <w:proofErr w:type="spellStart"/>
            <w:r>
              <w:t>Климасенко</w:t>
            </w:r>
            <w:proofErr w:type="spellEnd"/>
            <w:r>
              <w:t xml:space="preserve">, 8 (№ 50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73 440,00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81 600,00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3 -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36 720,00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4 -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73 440,00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5 -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612 000,00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Ожидает аукциона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6 -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167 280,00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C668B7">
        <w:tc>
          <w:tcPr>
            <w:tcW w:w="7054" w:type="dxa"/>
          </w:tcPr>
          <w:p w:rsidR="00EB047A" w:rsidRDefault="00EB047A" w:rsidP="00355317">
            <w:pPr>
              <w:jc w:val="both"/>
            </w:pPr>
            <w:r w:rsidRPr="00C668B7">
              <w:t xml:space="preserve">№ </w:t>
            </w:r>
            <w:r>
              <w:t xml:space="preserve">7 -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134" w:type="dxa"/>
            <w:vAlign w:val="center"/>
          </w:tcPr>
          <w:p w:rsidR="00EB047A" w:rsidRDefault="00EB047A" w:rsidP="00C668B7">
            <w:pPr>
              <w:jc w:val="center"/>
            </w:pPr>
            <w:r>
              <w:t>310 080,00 руб.</w:t>
            </w:r>
          </w:p>
        </w:tc>
        <w:tc>
          <w:tcPr>
            <w:tcW w:w="1668" w:type="dxa"/>
            <w:vAlign w:val="center"/>
          </w:tcPr>
          <w:p w:rsidR="00EB047A" w:rsidRDefault="00EB047A" w:rsidP="00C668B7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</w:t>
      </w:r>
      <w:r w:rsidR="007B247A" w:rsidRPr="003C661B">
        <w:lastRenderedPageBreak/>
        <w:t xml:space="preserve">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C668B7" w:rsidRPr="00F241B2">
        <w:t>http://new.admnkz.info/</w:t>
      </w:r>
      <w:r w:rsidR="00C668B7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173626.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 w:rsidRPr="00C668B7">
        <w:t>6</w:t>
      </w:r>
      <w:r w:rsidR="00C668B7">
        <w:t>.</w:t>
      </w:r>
      <w:r>
        <w:t xml:space="preserve">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173"/>
        <w:gridCol w:w="3969"/>
      </w:tblGrid>
      <w:tr w:rsidR="0040487C" w:rsidRPr="00C9038C" w:rsidTr="00C668B7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C668B7" w:rsidRDefault="0040487C" w:rsidP="00D116D8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C668B7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C668B7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1559"/>
        <w:gridCol w:w="1668"/>
      </w:tblGrid>
      <w:tr w:rsidR="00274E7B" w:rsidRPr="003C661B" w:rsidTr="00C668B7">
        <w:tc>
          <w:tcPr>
            <w:tcW w:w="1997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366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 xml:space="preserve">овокузнецк, Заводской район, улица </w:t>
            </w:r>
            <w:proofErr w:type="spellStart"/>
            <w:r w:rsidRPr="00C668B7">
              <w:t>Климасенко</w:t>
            </w:r>
            <w:proofErr w:type="spellEnd"/>
            <w:r w:rsidRPr="00C668B7">
              <w:t>, 8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73 440,00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 xml:space="preserve">овокузнецк, Новоильинский район, улица Косыгина, 43, остановка «Библиотека им. </w:t>
            </w:r>
            <w:r>
              <w:rPr>
                <w:lang w:val="en-US"/>
              </w:rPr>
              <w:t xml:space="preserve">Д.С. </w:t>
            </w:r>
            <w:proofErr w:type="spellStart"/>
            <w:r>
              <w:rPr>
                <w:lang w:val="en-US"/>
              </w:rPr>
              <w:t>Лихачева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81 600,00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6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Новоильинский район, улица Рокоссовского, 3, остановка «Поликлиника»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36 720,00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Новоильинский район, улица Косыгина, 61, остановка «Славянская»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73 440,00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Центральный район, улица Транспортная у здания № 131/2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612 000,00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5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Центральный район, улица Транспортная у здания № 131/2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612 000,00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7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Заводской район, улица Тореза, 95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167 280,00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C668B7">
        <w:trPr>
          <w:trHeight w:val="670"/>
        </w:trPr>
        <w:tc>
          <w:tcPr>
            <w:tcW w:w="1997" w:type="pct"/>
          </w:tcPr>
          <w:p w:rsidR="00274E7B" w:rsidRPr="003C661B" w:rsidRDefault="00274E7B" w:rsidP="008C110C">
            <w:r w:rsidRPr="00C668B7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C668B7">
              <w:t>г</w:t>
            </w:r>
            <w:proofErr w:type="gramStart"/>
            <w:r w:rsidRPr="00C668B7">
              <w:t>.Н</w:t>
            </w:r>
            <w:proofErr w:type="gramEnd"/>
            <w:r w:rsidRPr="00C668B7">
              <w:t>овокузнецк, Новоильинский район, проспект Авиаторов, 74</w:t>
            </w:r>
          </w:p>
        </w:tc>
        <w:tc>
          <w:tcPr>
            <w:tcW w:w="791" w:type="pct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310 080,00 руб.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4E7B" w:rsidRPr="003C661B" w:rsidRDefault="00274E7B" w:rsidP="00C668B7">
            <w:pPr>
              <w:jc w:val="center"/>
            </w:pPr>
            <w:r w:rsidRPr="003C661B">
              <w:t>Участник № 4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407289" w:rsidRPr="00C668B7" w:rsidRDefault="0040487C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9"/>
        <w:gridCol w:w="1441"/>
        <w:gridCol w:w="1701"/>
      </w:tblGrid>
      <w:tr w:rsidR="00407289" w:rsidRPr="006178B2" w:rsidTr="00C668B7">
        <w:tc>
          <w:tcPr>
            <w:tcW w:w="6639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701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C668B7">
        <w:trPr>
          <w:trHeight w:val="670"/>
        </w:trPr>
        <w:tc>
          <w:tcPr>
            <w:tcW w:w="6639" w:type="dxa"/>
          </w:tcPr>
          <w:p w:rsidR="00407289" w:rsidRPr="00C668B7" w:rsidRDefault="00407289" w:rsidP="00F13E25">
            <w:pPr>
              <w:jc w:val="both"/>
            </w:pPr>
            <w:r w:rsidRPr="00C668B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441" w:type="dxa"/>
            <w:shd w:val="clear" w:color="auto" w:fill="auto"/>
          </w:tcPr>
          <w:p w:rsidR="00407289" w:rsidRPr="00AE0EF7" w:rsidRDefault="00407289" w:rsidP="007F240A">
            <w:pPr>
              <w:jc w:val="center"/>
            </w:pPr>
            <w:r w:rsidRPr="00AE0EF7">
              <w:t>Участник № 2</w:t>
            </w:r>
          </w:p>
        </w:tc>
        <w:tc>
          <w:tcPr>
            <w:tcW w:w="1701" w:type="dxa"/>
            <w:shd w:val="clear" w:color="auto" w:fill="auto"/>
          </w:tcPr>
          <w:p w:rsidR="00407289" w:rsidRPr="006178B2" w:rsidRDefault="00407289" w:rsidP="00010BBF">
            <w:pPr>
              <w:jc w:val="center"/>
            </w:pPr>
            <w:r w:rsidRPr="006178B2">
              <w:rPr>
                <w:lang w:val="en-US"/>
              </w:rPr>
              <w:t>388607/524605</w:t>
            </w:r>
          </w:p>
        </w:tc>
      </w:tr>
      <w:tr w:rsidR="00407289" w:rsidRPr="006178B2" w:rsidTr="00C668B7">
        <w:trPr>
          <w:trHeight w:val="670"/>
        </w:trPr>
        <w:tc>
          <w:tcPr>
            <w:tcW w:w="6639" w:type="dxa"/>
          </w:tcPr>
          <w:p w:rsidR="00407289" w:rsidRPr="006178B2" w:rsidRDefault="00407289" w:rsidP="00F13E25">
            <w:pPr>
              <w:jc w:val="both"/>
              <w:rPr>
                <w:lang w:val="en-US"/>
              </w:rPr>
            </w:pPr>
            <w:r w:rsidRPr="00C668B7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441" w:type="dxa"/>
            <w:shd w:val="clear" w:color="auto" w:fill="auto"/>
          </w:tcPr>
          <w:p w:rsidR="00407289" w:rsidRPr="00AE0EF7" w:rsidRDefault="00407289" w:rsidP="007F240A">
            <w:pPr>
              <w:jc w:val="center"/>
            </w:pPr>
            <w:r w:rsidRPr="00AE0EF7">
              <w:t>Участник № 3</w:t>
            </w:r>
          </w:p>
        </w:tc>
        <w:tc>
          <w:tcPr>
            <w:tcW w:w="1701" w:type="dxa"/>
            <w:shd w:val="clear" w:color="auto" w:fill="auto"/>
          </w:tcPr>
          <w:p w:rsidR="00407289" w:rsidRPr="006178B2" w:rsidRDefault="00407289" w:rsidP="00010BBF">
            <w:pPr>
              <w:jc w:val="center"/>
            </w:pPr>
            <w:r w:rsidRPr="006178B2">
              <w:rPr>
                <w:lang w:val="en-US"/>
              </w:rPr>
              <w:t>388863/524933</w:t>
            </w:r>
          </w:p>
        </w:tc>
      </w:tr>
    </w:tbl>
    <w:p w:rsidR="00CA5A9E" w:rsidRPr="006178B2" w:rsidRDefault="00C668B7" w:rsidP="00C668B7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</w:t>
      </w:r>
      <w:r w:rsidR="00CA5A9E" w:rsidRPr="003B686D">
        <w:rPr>
          <w:b/>
        </w:rPr>
        <w:t xml:space="preserve">рассмотрения </w:t>
      </w:r>
      <w:r w:rsidR="004706F8" w:rsidRPr="003B686D">
        <w:rPr>
          <w:b/>
        </w:rPr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C668B7" w:rsidP="00CA5A9E">
      <w:pPr>
        <w:jc w:val="both"/>
      </w:pPr>
      <w:r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072"/>
        <w:gridCol w:w="1472"/>
        <w:gridCol w:w="1951"/>
      </w:tblGrid>
      <w:tr w:rsidR="00601937" w:rsidRPr="006178B2" w:rsidTr="00C668B7">
        <w:tc>
          <w:tcPr>
            <w:tcW w:w="4395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0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668B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384320/518621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15.08.2024 15:48:35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C668B7" w:rsidRDefault="00601937" w:rsidP="00601937">
            <w:r w:rsidRPr="00C668B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6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395363/533960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13.09.2024 19:56:56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C668B7" w:rsidRDefault="00601937" w:rsidP="00601937">
            <w:r w:rsidRPr="00C668B7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3, остановка «Поликлиника» (№ 110 в схеме размещения нестационарных торговых объектов). Специализация </w:t>
            </w:r>
            <w:proofErr w:type="spellStart"/>
            <w:r w:rsidRPr="003C661B">
              <w:lastRenderedPageBreak/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389981/526556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08:31:05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668B7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61, остановка «Славянская» (№ 87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389981/526557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08:31:05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C668B7" w:rsidRDefault="00601937" w:rsidP="00601937">
            <w:r w:rsidRPr="00C668B7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394762/533107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13.09.2024 07:19:36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C668B7" w:rsidRDefault="00601937" w:rsidP="00601937">
            <w:r w:rsidRPr="00C668B7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Транспортная у здания № 131/2 (№ 544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7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395916/534701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16.09.2024 12:24:00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668B7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112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390196/526821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30.08.2024 15:33:30</w:t>
            </w:r>
          </w:p>
        </w:tc>
      </w:tr>
      <w:tr w:rsidR="00601937" w:rsidRPr="006178B2" w:rsidTr="00C668B7">
        <w:trPr>
          <w:trHeight w:val="670"/>
        </w:trPr>
        <w:tc>
          <w:tcPr>
            <w:tcW w:w="439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C668B7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74 (№ 15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2072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389309/525513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05.09.2024 14:34:44</w:t>
            </w:r>
          </w:p>
        </w:tc>
      </w:tr>
    </w:tbl>
    <w:p w:rsidR="0033162A" w:rsidRDefault="0033162A" w:rsidP="00CA5A9E">
      <w:pPr>
        <w:jc w:val="both"/>
      </w:pPr>
    </w:p>
    <w:p w:rsidR="00CA5A9E" w:rsidRDefault="00C668B7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Pr="00F241B2">
        <w:t>http://new.admnkz.info/</w:t>
      </w:r>
      <w:r w:rsidRPr="00C668B7">
        <w:t xml:space="preserve"> </w:t>
      </w:r>
      <w:r w:rsidRPr="003C661B">
        <w:t xml:space="preserve">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C668B7" w:rsidRDefault="00C668B7">
            <w:pPr>
              <w:spacing w:line="360" w:lineRule="auto"/>
              <w:jc w:val="both"/>
            </w:pPr>
            <w:r>
              <w:t xml:space="preserve">11. </w:t>
            </w:r>
            <w:r w:rsidR="002B4012" w:rsidRPr="00C668B7">
              <w:t>На лоты № 1, № 2, № 3, № 4, № 6, № 7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C668B7" w:rsidRDefault="001812B2" w:rsidP="00D116D8">
            <w:pPr>
              <w:rPr>
                <w:iCs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C668B7" w:rsidRDefault="001812B2" w:rsidP="00D116D8">
            <w:pPr>
              <w:jc w:val="both"/>
            </w:pPr>
            <w:r w:rsidRPr="00C668B7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C668B7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C668B7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C668B7">
              <w:rPr>
                <w:color w:val="000000"/>
              </w:rPr>
              <w:t>/</w:t>
            </w:r>
          </w:p>
          <w:p w:rsidR="001812B2" w:rsidRPr="005538E6" w:rsidRDefault="001812B2" w:rsidP="00D116D8">
            <w:r w:rsidRPr="00C668B7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7331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7331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86D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733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331B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686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68B7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1447</Words>
  <Characters>10883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4</cp:revision>
  <cp:lastPrinted>2010-12-16T07:47:00Z</cp:lastPrinted>
  <dcterms:created xsi:type="dcterms:W3CDTF">2023-03-07T07:08:00Z</dcterms:created>
  <dcterms:modified xsi:type="dcterms:W3CDTF">2024-09-18T02:51:00Z</dcterms:modified>
</cp:coreProperties>
</file>